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4546"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454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4549" name=""/>
                <a:graphic>
                  <a:graphicData uri="http://schemas.microsoft.com/office/word/2010/wordprocessingGroup">
                    <wpg:wgp>
                      <wpg:cNvGrpSpPr/>
                      <wpg:grpSpPr>
                        <a:xfrm>
                          <a:off x="1282950" y="0"/>
                          <a:ext cx="8126095" cy="1035461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Human-Digit WBL Toolkit</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4"/>
                                    <w:vertAlign w:val="baseline"/>
                                  </w:rPr>
                                  <w:t xml:space="preserve">  </w:t>
                                </w:r>
                                <w:r w:rsidDel="00000000" w:rsidR="00000000" w:rsidRPr="00000000">
                                  <w:rPr>
                                    <w:rFonts w:ascii="Calibri" w:cs="Calibri" w:eastAsia="Calibri" w:hAnsi="Calibri"/>
                                    <w:b w:val="1"/>
                                    <w:i w:val="0"/>
                                    <w:smallCaps w:val="0"/>
                                    <w:strike w:val="0"/>
                                    <w:color w:val="ffffff"/>
                                    <w:sz w:val="44"/>
                                    <w:vertAlign w:val="baseline"/>
                                  </w:rPr>
                                  <w:t xml:space="preserve">https://housingcare.net</w:t>
                                </w:r>
                              </w:p>
                            </w:txbxContent>
                          </wps:txbx>
                          <wps:bodyPr anchorCtr="0" anchor="t" bIns="45700" lIns="91425" spcFirstLastPara="1" rIns="91425" wrap="square" tIns="45700">
                            <a:noAutofit/>
                          </wps:bodyPr>
                        </wps:wsp>
                        <wps:wsp>
                          <wps:cNvSpPr/>
                          <wps:cNvPr id="37" name="Shape 37"/>
                          <wps:spPr>
                            <a:xfrm>
                              <a:off x="152400" y="6385366"/>
                              <a:ext cx="5295900" cy="1720706"/>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8"/>
                                    <w:vertAlign w:val="baseline"/>
                                  </w:rPr>
                                  <w:t xml:space="preserve">Aprendizaje Humano y digital basado en el trabajo. </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8"/>
                                    <w:vertAlign w:val="baseline"/>
                                  </w:rPr>
                                </w:r>
                                <w:r w:rsidDel="00000000" w:rsidR="00000000" w:rsidRPr="00000000">
                                  <w:rPr>
                                    <w:rFonts w:ascii="Calibri" w:cs="Calibri" w:eastAsia="Calibri" w:hAnsi="Calibri"/>
                                    <w:b w:val="1"/>
                                    <w:i w:val="0"/>
                                    <w:smallCaps w:val="0"/>
                                    <w:strike w:val="0"/>
                                    <w:color w:val="ffffff"/>
                                    <w:sz w:val="48"/>
                                    <w:vertAlign w:val="baseline"/>
                                  </w:rPr>
                                  <w:t xml:space="preserve">Unidad de aprendizaje</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48"/>
                                    <w:vertAlign w:val="baseline"/>
                                  </w:rPr>
                                </w:r>
                                <w:r w:rsidDel="00000000" w:rsidR="00000000" w:rsidRPr="00000000">
                                  <w:rPr>
                                    <w:rFonts w:ascii="Calibri" w:cs="Calibri" w:eastAsia="Calibri" w:hAnsi="Calibri"/>
                                    <w:b w:val="0"/>
                                    <w:i w:val="0"/>
                                    <w:smallCaps w:val="0"/>
                                    <w:strike w:val="0"/>
                                    <w:color w:val="ffffff"/>
                                    <w:sz w:val="32"/>
                                    <w:vertAlign w:val="baseline"/>
                                  </w:rPr>
                                  <w:t xml:space="preserve">Resultado del proyecto nº 2</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Housing Care Project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520700</wp:posOffset>
                </wp:positionV>
                <wp:extent cx="8126095" cy="10354619"/>
                <wp:effectExtent b="0" l="0" r="0" t="0"/>
                <wp:wrapNone/>
                <wp:docPr id="4549"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8126095" cy="1035461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4550"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4550"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4543"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4543"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4544"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ÍNDICE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4544"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b w:val="1"/>
          <w:color w:val="323e4f"/>
          <w:sz w:val="52"/>
          <w:szCs w:val="52"/>
          <w:rtl w:val="0"/>
        </w:rPr>
        <w:t xml:space="preserve">01</w:t>
      </w:r>
      <w:r w:rsidDel="00000000" w:rsidR="00000000" w:rsidRPr="00000000">
        <w:rPr>
          <w:rFonts w:ascii="Calibri" w:cs="Calibri" w:eastAsia="Calibri" w:hAnsi="Calibri"/>
          <w:color w:val="323e4f"/>
          <w:sz w:val="36"/>
          <w:szCs w:val="36"/>
          <w:rtl w:val="0"/>
        </w:rPr>
        <w:tab/>
      </w:r>
      <w:r w:rsidDel="00000000" w:rsidR="00000000" w:rsidRPr="00000000">
        <w:rPr>
          <w:rFonts w:ascii="Calibri" w:cs="Calibri" w:eastAsia="Calibri" w:hAnsi="Calibri"/>
          <w:color w:val="323e4f"/>
          <w:sz w:val="32"/>
          <w:szCs w:val="32"/>
          <w:rtl w:val="0"/>
        </w:rPr>
        <w:t xml:space="preserve">La Unidad de Aprendizaje WBL</w:t>
        <w:tab/>
        <w:t xml:space="preserve">6</w:t>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4548"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4548"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4552" name="image1.png"/>
            <a:graphic>
              <a:graphicData uri="http://schemas.openxmlformats.org/drawingml/2006/picture">
                <pic:pic>
                  <pic:nvPicPr>
                    <pic:cNvPr id="0" name="image1.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4542"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4523" y="2585948"/>
                              <a:ext cx="2929948" cy="2306092"/>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72"/>
                                    <w:vertAlign w:val="baseline"/>
                                  </w:rPr>
                                  <w:t xml:space="preserve">UNIDAD DE APRENDIZAJE BASADO EN EL TRABAJO</w:t>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4542"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w:t>
      </w:r>
      <w:r w:rsidDel="00000000" w:rsidR="00000000" w:rsidRPr="00000000">
        <w:rPr>
          <w:b w:val="1"/>
          <w:smallCaps w:val="1"/>
          <w:color w:val="323e4f"/>
          <w:sz w:val="36"/>
          <w:szCs w:val="36"/>
          <w:rtl w:val="0"/>
        </w:rPr>
        <w:t xml:space="preserve">Unidad Didáctica</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Responsable. Ilmiolavoro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28"/>
          <w:szCs w:val="28"/>
          <w:u w:val="none"/>
          <w:shd w:fill="auto" w:val="clear"/>
          <w:vertAlign w:val="baseline"/>
        </w:rPr>
      </w:pPr>
      <w:r w:rsidDel="00000000" w:rsidR="00000000" w:rsidRPr="00000000">
        <w:rPr>
          <w:rFonts w:ascii="Calibri" w:cs="Calibri" w:eastAsia="Calibri" w:hAnsi="Calibri"/>
          <w:b w:val="1"/>
          <w:i w:val="0"/>
          <w:smallCaps w:val="0"/>
          <w:strike w:val="0"/>
          <w:color w:val="323e4f"/>
          <w:sz w:val="28"/>
          <w:szCs w:val="28"/>
          <w:u w:val="none"/>
          <w:shd w:fill="auto" w:val="clear"/>
          <w:vertAlign w:val="baseline"/>
          <w:rtl w:val="0"/>
        </w:rPr>
        <w:t xml:space="preserve">Sub- Heading</w:t>
      </w:r>
    </w:p>
    <w:p w:rsidR="00000000" w:rsidDel="00000000" w:rsidP="00000000" w:rsidRDefault="00000000" w:rsidRPr="00000000" w14:paraId="00000023">
      <w:pPr>
        <w:widowControl w:val="1"/>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ind w:right="282"/>
        <w:rPr/>
      </w:pPr>
      <w:r w:rsidDel="00000000" w:rsidR="00000000" w:rsidRPr="00000000">
        <w:rPr>
          <w:b w:val="1"/>
          <w:color w:val="323e4f"/>
          <w:sz w:val="28"/>
          <w:szCs w:val="28"/>
          <w:rtl w:val="0"/>
        </w:rPr>
        <w:t xml:space="preserve">Unidad de Aprendizaje de Housing Care                                                                    </w:t>
      </w:r>
      <w:r w:rsidDel="00000000" w:rsidR="00000000" w:rsidRPr="00000000">
        <w:rPr>
          <w:b w:val="1"/>
          <w:color w:val="8496b0"/>
          <w:sz w:val="28"/>
          <w:szCs w:val="28"/>
          <w:rtl w:val="0"/>
        </w:rPr>
        <w:t xml:space="preserve">   </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1"/>
        <w:tblW w:w="1041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9"/>
        <w:gridCol w:w="8700"/>
        <w:tblGridChange w:id="0">
          <w:tblGrid>
            <w:gridCol w:w="1719"/>
            <w:gridCol w:w="8700"/>
          </w:tblGrid>
        </w:tblGridChange>
      </w:tblGrid>
      <w:tr>
        <w:trPr>
          <w:cantSplit w:val="0"/>
          <w:trHeight w:val="160" w:hRule="atLeast"/>
          <w:tblHeader w:val="0"/>
        </w:trPr>
        <w:tc>
          <w:tcPr>
            <w:gridSpan w:val="2"/>
            <w:tcBorders>
              <w:top w:color="000000" w:space="0" w:sz="8" w:val="single"/>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ind w:right="282"/>
              <w:jc w:val="center"/>
              <w:rPr>
                <w:rFonts w:ascii="Avenir" w:cs="Avenir" w:eastAsia="Avenir" w:hAnsi="Avenir"/>
                <w:b w:val="1"/>
              </w:rPr>
            </w:pPr>
            <w:r w:rsidDel="00000000" w:rsidR="00000000" w:rsidRPr="00000000">
              <w:rPr>
                <w:rFonts w:ascii="Avenir" w:cs="Avenir" w:eastAsia="Avenir" w:hAnsi="Avenir"/>
                <w:b w:val="1"/>
                <w:rtl w:val="0"/>
              </w:rPr>
              <w:t xml:space="preserve">Unidad de aprendizaje</w:t>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i w:val="1"/>
                <w:rtl w:val="0"/>
              </w:rPr>
              <w:t xml:space="preserve">Título</w:t>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ind w:right="282"/>
              <w:jc w:val="center"/>
              <w:rPr>
                <w:rFonts w:ascii="Avenir" w:cs="Avenir" w:eastAsia="Avenir" w:hAnsi="Avenir"/>
                <w:b w:val="1"/>
              </w:rPr>
            </w:pPr>
            <w:r w:rsidDel="00000000" w:rsidR="00000000" w:rsidRPr="00000000">
              <w:rPr>
                <w:rFonts w:ascii="Avenir" w:cs="Avenir" w:eastAsia="Avenir" w:hAnsi="Avenir"/>
                <w:b w:val="1"/>
                <w:rtl w:val="0"/>
              </w:rPr>
              <w:t xml:space="preserve">Aprendizaje Humano y Digital Basado en el Trabajo.</w:t>
            </w:r>
          </w:p>
        </w:tc>
      </w:tr>
      <w:tr>
        <w:trPr>
          <w:cantSplit w:val="0"/>
          <w:trHeight w:val="68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i w:val="1"/>
                <w:rtl w:val="0"/>
              </w:rPr>
              <w:t xml:space="preserve">Prestación de servicios</w:t>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ind w:right="282"/>
              <w:jc w:val="center"/>
              <w:rPr>
                <w:rFonts w:ascii="Avenir" w:cs="Avenir" w:eastAsia="Avenir" w:hAnsi="Avenir"/>
                <w:b w:val="1"/>
              </w:rPr>
            </w:pPr>
            <w:r w:rsidDel="00000000" w:rsidR="00000000" w:rsidRPr="00000000">
              <w:rPr>
                <w:rFonts w:ascii="Avenir" w:cs="Avenir" w:eastAsia="Avenir" w:hAnsi="Avenir"/>
                <w:b w:val="1"/>
                <w:rtl w:val="0"/>
              </w:rPr>
              <w:t xml:space="preserve">Informar sobre el rendimiento del servicio que debe prestar el alumno/cuidador</w:t>
            </w:r>
          </w:p>
        </w:tc>
      </w:tr>
      <w:tr>
        <w:trPr>
          <w:cantSplit w:val="0"/>
          <w:trHeight w:val="64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ind w:right="282"/>
              <w:jc w:val="center"/>
              <w:rPr>
                <w:rFonts w:ascii="Avenir" w:cs="Avenir" w:eastAsia="Avenir" w:hAnsi="Avenir"/>
                <w:b w:val="1"/>
                <w:i w:val="1"/>
                <w:highlight w:val="yellow"/>
              </w:rPr>
            </w:pPr>
            <w:r w:rsidDel="00000000" w:rsidR="00000000" w:rsidRPr="00000000">
              <w:rPr>
                <w:rFonts w:ascii="Avenir" w:cs="Avenir" w:eastAsia="Avenir" w:hAnsi="Avenir"/>
                <w:b w:val="1"/>
                <w:i w:val="1"/>
                <w:rtl w:val="0"/>
              </w:rPr>
              <w:t xml:space="preserve">Resultados de aprendizaje medibles y específicos</w:t>
            </w:r>
            <w:r w:rsidDel="00000000" w:rsidR="00000000" w:rsidRPr="00000000">
              <w:rPr>
                <w:rtl w:val="0"/>
              </w:rPr>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u w:val="none"/>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Al finalizar el itinerario de formación en alternancia, el cuidador será capaz de</w:t>
            </w:r>
            <w:r w:rsidDel="00000000" w:rsidR="00000000" w:rsidRPr="00000000">
              <w:rPr>
                <w:rFonts w:ascii="Avenir" w:cs="Avenir" w:eastAsia="Avenir" w:hAnsi="Avenir"/>
                <w:b w:val="1"/>
                <w:i w:val="0"/>
                <w:smallCaps w:val="0"/>
                <w:strike w:val="0"/>
                <w:u w:val="none"/>
                <w:shd w:fill="auto" w:val="clear"/>
                <w:vertAlign w:val="baseline"/>
                <w:rtl w:val="0"/>
              </w:rPr>
              <w:t xml:space="preserve">:</w:t>
            </w:r>
            <w:r w:rsidDel="00000000" w:rsidR="00000000" w:rsidRPr="00000000">
              <w:rPr>
                <w:rFonts w:ascii="Avenir" w:cs="Avenir" w:eastAsia="Avenir" w:hAnsi="Avenir"/>
                <w:b w:val="1"/>
                <w:i w:val="0"/>
                <w:smallCaps w:val="0"/>
                <w:strike w:val="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dominar las tecnologías y aplicaciones relevantes sobre envejecimiento activo y saludable útiles para cuidar a los usuarias durante su servicio asistencial.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identificar los beneficios, las oportunidades y las posibles funcionalidades de las tecnologías y aplicaciones y seleccionar las más adecuadas para satisfacer las necesidades de las personas usuarias durante su servicio asistencial</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actualizar y realizar las descargas necesarias durante el servicio de asistencia sanitaria y social</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mantener actualizadas los conocimientos relacionados con la tecnología más útil</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Conocer la normativa GDPR y la obligación de confidencialidad que utilizan las tecnologías/apps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establecer una conexión adecuada y comunicarse con eficacia con los usuarias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comunicarse eficazmente en un entorno virtual con los/las usuarios/as, familiares, , amigos, personal sanitario, etc.</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aplicaciones específicas que le permitan dar importancia al autocuidado y mejorar su propia salud y bienestar.</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gestionar la accesibilidad en dispositivos digitales para garantizar la seguridad de los datos de los/as personas usuarias </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right="282"/>
              <w:jc w:val="center"/>
              <w:rPr>
                <w:rFonts w:ascii="Avenir" w:cs="Avenir" w:eastAsia="Avenir" w:hAnsi="Avenir"/>
                <w:b w:val="1"/>
              </w:rPr>
            </w:pPr>
            <w:r w:rsidDel="00000000" w:rsidR="00000000" w:rsidRPr="00000000">
              <w:rPr>
                <w:rtl w:val="0"/>
              </w:rPr>
            </w:r>
          </w:p>
        </w:tc>
      </w:tr>
      <w:tr>
        <w:trPr>
          <w:cantSplit w:val="0"/>
          <w:trHeight w:val="1813"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3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rFonts w:ascii="Avenir" w:cs="Avenir" w:eastAsia="Avenir" w:hAnsi="Avenir"/>
                <w:b w:val="1"/>
              </w:rPr>
            </w:pPr>
            <w:r w:rsidDel="00000000" w:rsidR="00000000" w:rsidRPr="00000000">
              <w:rPr>
                <w:rFonts w:ascii="Avenir" w:cs="Avenir" w:eastAsia="Avenir" w:hAnsi="Avenir"/>
                <w:b w:val="1"/>
                <w:rtl w:val="0"/>
              </w:rPr>
              <w:t xml:space="preserve">Competencias previstas y específicas alineadas con los resultados del aprendizaje</w:t>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282" w:hanging="36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Partiendo del conocimiento de los beneficios y funcionalidades de los dispositivos tecnológicos y aplicaciones para el envejecimiento activo y saludable, el cuidador es capaz de seleccionar aquellos dispositivos y aplicaciones que se ajusten a las necesidades de las personas usuarias, dominar su uso y mantenerlos actualizados. </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282" w:hanging="36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 partir del conocimiento de las relaciones de ayuda efectivas, el cuidador es capaz de establecer conexiones adecuadas con las personas usuarias y una comunicación efectiva con ellas, con sus familiares, amigos y personal sanitario, utilizando también aplicaciones de comunicación virtual y respetando su GDPR/confidencialidad mientras utiliza las tecnologías/aplicaciones.</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282" w:hanging="360"/>
              <w:jc w:val="both"/>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Basándose en la importancia del propio bienestar para un servicio de cuidados eficaz, el cuidador es capaz de utilizar aplicaciones específicas que le permiten autocuidarse, autogestionarse y mejorar su propia salud y bienestar durante la prestación del servicio de cuidados.</w:t>
            </w:r>
            <w:r w:rsidDel="00000000" w:rsidR="00000000" w:rsidRPr="00000000">
              <w:rPr>
                <w:rtl w:val="0"/>
              </w:rPr>
            </w:r>
          </w:p>
        </w:tc>
      </w:tr>
      <w:tr>
        <w:trPr>
          <w:cantSplit w:val="0"/>
          <w:trHeight w:val="400" w:hRule="atLeast"/>
          <w:tblHeader w:val="0"/>
        </w:trPr>
        <w:tc>
          <w:tcPr>
            <w:tcBorders>
              <w:left w:color="000000" w:space="0" w:sz="8" w:val="single"/>
              <w:bottom w:color="000000" w:space="0" w:sz="8" w:val="single"/>
              <w:right w:color="000000" w:space="0" w:sz="8" w:val="single"/>
            </w:tcBorders>
            <w:shd w:fill="ffffff" w:val="clear"/>
            <w:tcMar>
              <w:top w:w="20.0" w:type="dxa"/>
              <w:left w:w="80.0" w:type="dxa"/>
              <w:bottom w:w="100.0" w:type="dxa"/>
              <w:right w:w="80.0" w:type="dxa"/>
            </w:tcM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i w:val="1"/>
                <w:rtl w:val="0"/>
              </w:rPr>
              <w:t xml:space="preserve">Posibles experiencias de aprendizaje basado en el trabajo</w:t>
            </w:r>
          </w:p>
        </w:tc>
        <w:tc>
          <w:tcPr>
            <w:tcBorders>
              <w:bottom w:color="000000" w:space="0" w:sz="8" w:val="single"/>
              <w:right w:color="000000" w:space="0" w:sz="8" w:val="single"/>
            </w:tcBorders>
            <w:shd w:fill="auto" w:val="clear"/>
            <w:tcMar>
              <w:top w:w="20.0" w:type="dxa"/>
              <w:left w:w="80.0" w:type="dxa"/>
              <w:bottom w:w="100.0" w:type="dxa"/>
              <w:right w:w="80.0" w:type="dxa"/>
            </w:tcMar>
            <w:vAlign w:val="center"/>
          </w:tcPr>
          <w:p w:rsidR="00000000" w:rsidDel="00000000" w:rsidP="00000000" w:rsidRDefault="00000000" w:rsidRPr="00000000" w14:paraId="0000003E">
            <w:pPr>
              <w:rPr>
                <w:rFonts w:ascii="Avenir" w:cs="Avenir" w:eastAsia="Avenir" w:hAnsi="Avenir"/>
                <w:b w:val="1"/>
              </w:rPr>
            </w:pPr>
            <w:r w:rsidDel="00000000" w:rsidR="00000000" w:rsidRPr="00000000">
              <w:rPr>
                <w:rFonts w:ascii="Avenir" w:cs="Avenir" w:eastAsia="Avenir" w:hAnsi="Avenir"/>
                <w:b w:val="1"/>
                <w:rtl w:val="0"/>
              </w:rPr>
              <w:t xml:space="preserve">Tecnologías digitales para el sector sociosanitario</w:t>
            </w:r>
          </w:p>
          <w:p w:rsidR="00000000" w:rsidDel="00000000" w:rsidP="00000000" w:rsidRDefault="00000000" w:rsidRPr="00000000" w14:paraId="0000003F">
            <w:pPr>
              <w:rPr>
                <w:rFonts w:ascii="Avenir" w:cs="Avenir" w:eastAsia="Avenir" w:hAnsi="Avenir"/>
                <w:b w:val="1"/>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Gestión de la atención sanitaria de las personas usuarias mediante aplicaciones</w:t>
            </w:r>
          </w:p>
          <w:p w:rsidR="00000000" w:rsidDel="00000000" w:rsidP="00000000" w:rsidRDefault="00000000" w:rsidRPr="00000000" w14:paraId="00000041">
            <w:pPr>
              <w:widowControl w:val="1"/>
              <w:rPr>
                <w:rFonts w:ascii="Avenir" w:cs="Avenir" w:eastAsia="Avenir" w:hAnsi="Avenir"/>
                <w:b w:val="1"/>
              </w:rPr>
            </w:pPr>
            <w:r w:rsidDel="00000000" w:rsidR="00000000" w:rsidRPr="00000000">
              <w:rPr>
                <w:rFonts w:ascii="Avenir" w:cs="Avenir" w:eastAsia="Avenir" w:hAnsi="Avenir"/>
                <w:b w:val="1"/>
                <w:i w:val="1"/>
                <w:rtl w:val="0"/>
              </w:rPr>
              <w:t xml:space="preserve">Ejemplo de posibles áreas de experiencia laboral</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Gestión de las condiciones de salud mediante el uso de aplicaciones para la diabete</w:t>
            </w:r>
            <w:r w:rsidDel="00000000" w:rsidR="00000000" w:rsidRPr="00000000">
              <w:rPr>
                <w:rFonts w:ascii="Avenir" w:cs="Avenir" w:eastAsia="Avenir" w:hAnsi="Avenir"/>
                <w:b w:val="1"/>
                <w:rtl w:val="0"/>
              </w:rPr>
              <w:t xml:space="preserve">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Selección de una aplicación de gestión sanitaria adaptada al estado de salud de la persona mayo</w:t>
            </w:r>
            <w:r w:rsidDel="00000000" w:rsidR="00000000" w:rsidRPr="00000000">
              <w:rPr>
                <w:rFonts w:ascii="Avenir" w:cs="Avenir" w:eastAsia="Avenir" w:hAnsi="Avenir"/>
                <w:b w:val="1"/>
                <w:rtl w:val="0"/>
              </w:rPr>
              <w:t xml:space="preserve">r.</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seleccionar y utilizar aplicaciones para problemas de salud específicos.</w:t>
            </w:r>
          </w:p>
          <w:p w:rsidR="00000000" w:rsidDel="00000000" w:rsidP="00000000" w:rsidRDefault="00000000" w:rsidRPr="00000000" w14:paraId="0000004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seleccionar y utilizar aplicaciones sociales</w:t>
            </w:r>
          </w:p>
          <w:p w:rsidR="00000000" w:rsidDel="00000000" w:rsidP="00000000" w:rsidRDefault="00000000" w:rsidRPr="00000000" w14:paraId="0000004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seleccionar y utilizar aplicaciones y tecnologías para el uso de medicamentos.</w:t>
            </w:r>
          </w:p>
          <w:p w:rsidR="00000000" w:rsidDel="00000000" w:rsidP="00000000" w:rsidRDefault="00000000" w:rsidRPr="00000000" w14:paraId="0000004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seleccionar y utilizar aplicaciones para ayudar a las personas usuarias a mantenerse en forma.</w:t>
            </w:r>
          </w:p>
          <w:p w:rsidR="00000000" w:rsidDel="00000000" w:rsidP="00000000" w:rsidRDefault="00000000" w:rsidRPr="00000000" w14:paraId="0000004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seleccionar y utilizar aplicaciones para medir la tensión arterial.</w:t>
            </w:r>
          </w:p>
          <w:p w:rsidR="00000000" w:rsidDel="00000000" w:rsidP="00000000" w:rsidRDefault="00000000" w:rsidRPr="00000000" w14:paraId="00000049">
            <w:pPr>
              <w:rPr>
                <w:rFonts w:ascii="Avenir" w:cs="Avenir" w:eastAsia="Avenir" w:hAnsi="Avenir"/>
                <w:b w:val="1"/>
              </w:rPr>
            </w:pPr>
            <w:r w:rsidDel="00000000" w:rsidR="00000000" w:rsidRPr="00000000">
              <w:rPr>
                <w:rtl w:val="0"/>
              </w:rPr>
            </w:r>
          </w:p>
          <w:p w:rsidR="00000000" w:rsidDel="00000000" w:rsidP="00000000" w:rsidRDefault="00000000" w:rsidRPr="00000000" w14:paraId="0000004A">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Comprueba hasta qué punto la persona es capaz de utilizar el móvil y pídele que realice pequeñas actividades como buscar contactos, descargar una app, buscar información en google.</w:t>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Verificar las principales necesidades del paciente y encontrar la aplicación adecuada para el seguimiento (diabetes, hidratación...).</w:t>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Descargar y utilizar la aplicación sobre un problema de salud concreto y enseñar al cliente a utilizarla.</w:t>
            </w:r>
          </w:p>
          <w:p w:rsidR="00000000" w:rsidDel="00000000" w:rsidP="00000000" w:rsidRDefault="00000000" w:rsidRPr="00000000" w14:paraId="000000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Ayuda a sus familiares a utilizar las mismas aplicaciones</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Comprueba los datos y anótalos a lo largo del tiempo para comprobar si hay alteraciones. </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una lista con nombres y aplicaciones mediante una herramienta de gestión</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la aplicación PHR (Personal Health Record) (“Historia clínica Personal”) para hacer un seguimiento de las actividades (para que lo sepan otros cuidadores que puedan venir después y la familia).</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un calendario de actividades realizadas durante la semana y actividades programadas para la familia (guia) durante el fin de semana. </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Redacción de los procedimientos para los pacientes</w:t>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Establezca un plan semanal (diario) para recibir llamadas telefónicas y/o videollamadas de los pacientes o webcall de los familiares. </w:t>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Hacer una videollamada sencilla</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una aplicación para gestionar las recetas y los medicamentos</w:t>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Gestionar su flujo de toma de agua mediante recordatorios</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Medir la tensión arterial mediante dispositivos tecnológicos como los smartwatches</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Vigilancia específica de los programas o de las funciones de ayuda a la prevención del deterioro cognitive</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Smartphones con reconocimiento de voz y debate cara a cara, actividades sobre comunicación y estimulación</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Disponer de smartphones zoom, telegram, whatsapp call para cooperar con los compañeros</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Uso del calendario de Google para compartir la información de los clientes</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el smartphone como herramienta de accesibilidad</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Para entrenar las funciones de accesibilidad: ver el tutorial sobre cómo activar las funciones de accesibilidad</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Explicar a los clientes cómo utilizar la accesibilidad en sus dispositivos</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una app para conectar con las tecnologías de tensión arterial para registrar y compartir los datos con los familiares</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Ampliar sus fronteras incluyendo las tecnologías para la salud</w:t>
            </w:r>
          </w:p>
          <w:p w:rsidR="00000000" w:rsidDel="00000000" w:rsidP="00000000" w:rsidRDefault="00000000" w:rsidRPr="00000000" w14:paraId="00000062">
            <w:pPr>
              <w:rPr>
                <w:rFonts w:ascii="Avenir" w:cs="Avenir" w:eastAsia="Avenir" w:hAnsi="Avenir"/>
                <w:b w:val="1"/>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Gestión de la actividad física, estilo de vida saludable y prevención del deterioro cognitivo en las personas usuaria</w:t>
            </w:r>
            <w:r w:rsidDel="00000000" w:rsidR="00000000" w:rsidRPr="00000000">
              <w:rPr>
                <w:rFonts w:ascii="Avenir" w:cs="Avenir" w:eastAsia="Avenir" w:hAnsi="Avenir"/>
                <w:b w:val="1"/>
                <w:rtl w:val="0"/>
              </w:rPr>
              <w:t xml:space="preserve">s.</w:t>
            </w:r>
            <w:r w:rsidDel="00000000" w:rsidR="00000000" w:rsidRPr="00000000">
              <w:rPr>
                <w:rtl w:val="0"/>
              </w:rPr>
            </w:r>
          </w:p>
          <w:p w:rsidR="00000000" w:rsidDel="00000000" w:rsidP="00000000" w:rsidRDefault="00000000" w:rsidRPr="00000000" w14:paraId="00000064">
            <w:pPr>
              <w:widowControl w:val="1"/>
              <w:rPr>
                <w:rFonts w:ascii="Avenir" w:cs="Avenir" w:eastAsia="Avenir" w:hAnsi="Avenir"/>
                <w:b w:val="1"/>
              </w:rPr>
            </w:pPr>
            <w:r w:rsidDel="00000000" w:rsidR="00000000" w:rsidRPr="00000000">
              <w:rPr>
                <w:rFonts w:ascii="Avenir" w:cs="Avenir" w:eastAsia="Avenir" w:hAnsi="Avenir"/>
                <w:b w:val="1"/>
                <w:i w:val="1"/>
                <w:rtl w:val="0"/>
              </w:rPr>
              <w:t xml:space="preserve">Ejemplo de posibles áreas de experiencia laboral</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Fomento de la actividad física de las personas usuarias mediante las siguientes aplicaciones (App Rosita, Down dog)</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Fomento del control del equilibrio hídrico de las personas usuarias mediante la aplicación WaterMinder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Fomentar un estilo de vida saludable en las personas usuarias mediante el uso de las siguientes aplicaciones de apoyo (Yuka, Sentab, Mindshift, Dommus)</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Prevención del deterioro cognitivo en las personas usuarias mediante el uso de las siguientes aplicaciones: (Luminosity, Peak, Skillz for Logic Brain Games)</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venir" w:cs="Avenir" w:eastAsia="Avenir" w:hAnsi="Avenir"/>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6A">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la aplicación PHR para hacer un seguimiento de las actividades (para que lo sepan otros cuidadores que puedan venir después y la familia).</w:t>
            </w:r>
          </w:p>
          <w:p w:rsidR="00000000" w:rsidDel="00000000" w:rsidP="00000000" w:rsidRDefault="00000000" w:rsidRPr="00000000" w14:paraId="000000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Acceder a la aplicación de videollamada para comunicarse</w:t>
            </w:r>
          </w:p>
          <w:p w:rsidR="00000000" w:rsidDel="00000000" w:rsidP="00000000" w:rsidRDefault="00000000" w:rsidRPr="00000000" w14:paraId="000000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Para utilizar aplicaciones cognitivas vinculadas al calendario</w:t>
            </w:r>
          </w:p>
          <w:p w:rsidR="00000000" w:rsidDel="00000000" w:rsidP="00000000" w:rsidRDefault="00000000" w:rsidRPr="00000000" w14:paraId="0000006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la aplicación de registro para anotar las necesidades y limitaciones específicas (evaluación profesional, primera imagen del estado).</w:t>
            </w:r>
          </w:p>
          <w:p w:rsidR="00000000" w:rsidDel="00000000" w:rsidP="00000000" w:rsidRDefault="00000000" w:rsidRPr="00000000" w14:paraId="0000006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recordatorios de ingesta de líquidos si el cuidador lo considera útil.</w:t>
            </w:r>
          </w:p>
          <w:p w:rsidR="00000000" w:rsidDel="00000000" w:rsidP="00000000" w:rsidRDefault="00000000" w:rsidRPr="00000000" w14:paraId="0000007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Para configurar la alerta telefónica activada por Geovalla o "servicio de llamada amistosa".</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7" w:right="0" w:firstLine="0"/>
              <w:jc w:val="left"/>
              <w:rPr>
                <w:rFonts w:ascii="Avenir" w:cs="Avenir" w:eastAsia="Avenir" w:hAnsi="Avenir"/>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Apoyar y facilitar las actividades sociales de la persona mayor</w:t>
            </w:r>
          </w:p>
          <w:p w:rsidR="00000000" w:rsidDel="00000000" w:rsidP="00000000" w:rsidRDefault="00000000" w:rsidRPr="00000000" w14:paraId="00000073">
            <w:pPr>
              <w:widowControl w:val="1"/>
              <w:rPr>
                <w:rFonts w:ascii="Avenir" w:cs="Avenir" w:eastAsia="Avenir" w:hAnsi="Avenir"/>
                <w:b w:val="1"/>
              </w:rPr>
            </w:pPr>
            <w:r w:rsidDel="00000000" w:rsidR="00000000" w:rsidRPr="00000000">
              <w:rPr>
                <w:rFonts w:ascii="Avenir" w:cs="Avenir" w:eastAsia="Avenir" w:hAnsi="Avenir"/>
                <w:b w:val="1"/>
                <w:i w:val="1"/>
                <w:rtl w:val="0"/>
              </w:rPr>
              <w:t xml:space="preserve">Ejemplo de posibles áreas de experiencia laboral.</w:t>
            </w:r>
            <w:r w:rsidDel="00000000" w:rsidR="00000000" w:rsidRPr="00000000">
              <w:rPr>
                <w:rFonts w:ascii="Avenir" w:cs="Avenir" w:eastAsia="Avenir" w:hAnsi="Avenir"/>
                <w:b w:val="1"/>
                <w:rtl w:val="0"/>
              </w:rPr>
              <w:t xml:space="preserve"> </w:t>
            </w:r>
          </w:p>
          <w:p w:rsidR="00000000" w:rsidDel="00000000" w:rsidP="00000000" w:rsidRDefault="00000000" w:rsidRPr="00000000" w14:paraId="0000007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aplicaciones de interacción/sociales como FB, Twitter, etc., informando a las personas usuarias sobre los principios de la netiqueta y el fenómeno de las noticias falsas</w:t>
            </w:r>
            <w:r w:rsidDel="00000000" w:rsidR="00000000" w:rsidRPr="00000000">
              <w:rPr>
                <w:rFonts w:ascii="Avenir" w:cs="Avenir" w:eastAsia="Avenir" w:hAnsi="Avenir"/>
                <w:b w:val="1"/>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Fomentar el entretenimiento de las personas usuarias mediante el uso de algunas Apps de entretenimient</w:t>
            </w:r>
            <w:r w:rsidDel="00000000" w:rsidR="00000000" w:rsidRPr="00000000">
              <w:rPr>
                <w:rFonts w:ascii="Avenir" w:cs="Avenir" w:eastAsia="Avenir" w:hAnsi="Avenir"/>
                <w:b w:val="1"/>
                <w:rtl w:val="0"/>
              </w:rPr>
              <w:t xml:space="preserve">o.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Fomentar el disfrute de las personas usuarias con contenidos culturales mediante el uso de algunas apps destinadas para tal fin</w:t>
            </w:r>
            <w:r w:rsidDel="00000000" w:rsidR="00000000" w:rsidRPr="00000000">
              <w:rPr>
                <w:rFonts w:ascii="Avenir" w:cs="Avenir" w:eastAsia="Avenir" w:hAnsi="Avenir"/>
                <w:b w:val="1"/>
                <w:rtl w:val="0"/>
              </w:rPr>
              <w:t xml:space="preserve">.</w:t>
            </w:r>
            <w:r w:rsidDel="00000000" w:rsidR="00000000" w:rsidRPr="00000000">
              <w:rPr>
                <w:rtl w:val="0"/>
              </w:rPr>
            </w:r>
          </w:p>
          <w:p w:rsidR="00000000" w:rsidDel="00000000" w:rsidP="00000000" w:rsidRDefault="00000000" w:rsidRPr="00000000" w14:paraId="00000077">
            <w:pPr>
              <w:rPr>
                <w:rFonts w:ascii="Avenir" w:cs="Avenir" w:eastAsia="Avenir" w:hAnsi="Avenir"/>
                <w:b w:val="1"/>
              </w:rPr>
            </w:pPr>
            <w:r w:rsidDel="00000000" w:rsidR="00000000" w:rsidRPr="00000000">
              <w:rPr>
                <w:rtl w:val="0"/>
              </w:rPr>
            </w:r>
          </w:p>
          <w:p w:rsidR="00000000" w:rsidDel="00000000" w:rsidP="00000000" w:rsidRDefault="00000000" w:rsidRPr="00000000" w14:paraId="00000078">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Promover las conexiones entre familiares y cuidadores (redes sociales) mediante WhatsApp</w:t>
            </w:r>
          </w:p>
          <w:p w:rsidR="00000000" w:rsidDel="00000000" w:rsidP="00000000" w:rsidRDefault="00000000" w:rsidRPr="00000000" w14:paraId="000000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un Plan sobre actividades sociales en la zona (Semana) teniendo en cuenta los gustos de las personas usuarias</w:t>
            </w:r>
          </w:p>
          <w:p w:rsidR="00000000" w:rsidDel="00000000" w:rsidP="00000000" w:rsidRDefault="00000000" w:rsidRPr="00000000" w14:paraId="000000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Buscar los soportes técnicos a la medida del cliente</w:t>
            </w:r>
          </w:p>
          <w:p w:rsidR="00000000" w:rsidDel="00000000" w:rsidP="00000000" w:rsidRDefault="00000000" w:rsidRPr="00000000" w14:paraId="0000007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mantener la tecnología simple ejemplo jugar a las cartas para mantener al cliente estimulado</w:t>
            </w:r>
          </w:p>
          <w:p w:rsidR="00000000" w:rsidDel="00000000" w:rsidP="00000000" w:rsidRDefault="00000000" w:rsidRPr="00000000" w14:paraId="0000007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Promover las acciones intergeneracionales utilizando cualquier plataforma para hacer videollamadas</w:t>
            </w:r>
          </w:p>
          <w:p w:rsidR="00000000" w:rsidDel="00000000" w:rsidP="00000000" w:rsidRDefault="00000000" w:rsidRPr="00000000" w14:paraId="0000007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Promover la escucha activa, la empatía, para dar a las personas usuarias la oportunidad de confiar en el cuidador.</w:t>
            </w:r>
          </w:p>
          <w:p w:rsidR="00000000" w:rsidDel="00000000" w:rsidP="00000000" w:rsidRDefault="00000000" w:rsidRPr="00000000" w14:paraId="0000007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un plan con un calendario de reuniones con otras personas</w:t>
            </w:r>
          </w:p>
          <w:p w:rsidR="00000000" w:rsidDel="00000000" w:rsidP="00000000" w:rsidRDefault="00000000" w:rsidRPr="00000000" w14:paraId="0000008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actividades en su propia ciudad con otras personas con los mismos gustos y en la misma situación.</w:t>
            </w:r>
          </w:p>
          <w:p w:rsidR="00000000" w:rsidDel="00000000" w:rsidP="00000000" w:rsidRDefault="00000000" w:rsidRPr="00000000" w14:paraId="0000008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Alexa para los cuidadores creando este cuidadores en tutores/profesores para los clientes (Cineforum, audiolibros, para la gente no puede leer)</w:t>
            </w:r>
          </w:p>
        </w:tc>
      </w:tr>
    </w:tbl>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tbl>
      <w:tblPr>
        <w:tblStyle w:val="Table2"/>
        <w:tblW w:w="10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8"/>
        <w:gridCol w:w="8591"/>
        <w:tblGridChange w:id="0">
          <w:tblGrid>
            <w:gridCol w:w="1838"/>
            <w:gridCol w:w="8591"/>
          </w:tblGrid>
        </w:tblGridChange>
      </w:tblGrid>
      <w:tr>
        <w:trPr>
          <w:cantSplit w:val="0"/>
          <w:trHeight w:val="400" w:hRule="atLeast"/>
          <w:tblHeader w:val="0"/>
        </w:trPr>
        <w:tc>
          <w:tcPr>
            <w:vAlign w:val="center"/>
          </w:tcPr>
          <w:p w:rsidR="00000000" w:rsidDel="00000000" w:rsidP="00000000" w:rsidRDefault="00000000" w:rsidRPr="00000000" w14:paraId="00000084">
            <w:pPr>
              <w:rPr>
                <w:rFonts w:ascii="Avenir" w:cs="Avenir" w:eastAsia="Avenir" w:hAnsi="Avenir"/>
                <w:b w:val="1"/>
              </w:rPr>
            </w:pPr>
            <w:r w:rsidDel="00000000" w:rsidR="00000000" w:rsidRPr="00000000">
              <w:rPr>
                <w:rFonts w:ascii="Avenir" w:cs="Avenir" w:eastAsia="Avenir" w:hAnsi="Avenir"/>
                <w:b w:val="1"/>
                <w:i w:val="1"/>
                <w:rtl w:val="0"/>
              </w:rPr>
              <w:t xml:space="preserve">Posibles experiencias de aprendizaje basado en el trabajo</w:t>
            </w:r>
            <w:r w:rsidDel="00000000" w:rsidR="00000000" w:rsidRPr="00000000">
              <w:rPr>
                <w:rtl w:val="0"/>
              </w:rPr>
            </w:r>
          </w:p>
        </w:tc>
        <w:tc>
          <w:tcPr>
            <w:shd w:fill="auto" w:val="clear"/>
            <w:tcMar>
              <w:top w:w="20.0" w:type="dxa"/>
              <w:left w:w="80.0" w:type="dxa"/>
              <w:bottom w:w="100.0" w:type="dxa"/>
              <w:right w:w="80.0" w:type="dxa"/>
            </w:tcMar>
            <w:vAlign w:val="center"/>
          </w:tcPr>
          <w:p w:rsidR="00000000" w:rsidDel="00000000" w:rsidP="00000000" w:rsidRDefault="00000000" w:rsidRPr="00000000" w14:paraId="00000085">
            <w:pPr>
              <w:rPr>
                <w:rFonts w:ascii="Avenir" w:cs="Avenir" w:eastAsia="Avenir" w:hAnsi="Avenir"/>
                <w:b w:val="1"/>
              </w:rPr>
            </w:pPr>
            <w:r w:rsidDel="00000000" w:rsidR="00000000" w:rsidRPr="00000000">
              <w:rPr>
                <w:rFonts w:ascii="Avenir" w:cs="Avenir" w:eastAsia="Avenir" w:hAnsi="Avenir"/>
                <w:b w:val="1"/>
                <w:rtl w:val="0"/>
              </w:rPr>
              <w:t xml:space="preserve">«Digi-human» competences</w:t>
            </w:r>
          </w:p>
          <w:p w:rsidR="00000000" w:rsidDel="00000000" w:rsidP="00000000" w:rsidRDefault="00000000" w:rsidRPr="00000000" w14:paraId="00000086">
            <w:pPr>
              <w:rPr>
                <w:rFonts w:ascii="Avenir" w:cs="Avenir" w:eastAsia="Avenir" w:hAnsi="Avenir"/>
                <w:b w:val="1"/>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Poner en marcha actividades que promuevan el equilibrio entre la vida laboral y personal y aumenten la calidad de vida</w:t>
            </w:r>
            <w:r w:rsidDel="00000000" w:rsidR="00000000" w:rsidRPr="00000000">
              <w:rPr>
                <w:rFonts w:ascii="Avenir" w:cs="Avenir" w:eastAsia="Avenir" w:hAnsi="Avenir"/>
                <w:b w:val="1"/>
                <w:rtl w:val="0"/>
              </w:rPr>
              <w:t xml:space="preserve">.</w:t>
            </w:r>
            <w:r w:rsidDel="00000000" w:rsidR="00000000" w:rsidRPr="00000000">
              <w:rPr>
                <w:rtl w:val="0"/>
              </w:rPr>
            </w:r>
          </w:p>
          <w:p w:rsidR="00000000" w:rsidDel="00000000" w:rsidP="00000000" w:rsidRDefault="00000000" w:rsidRPr="00000000" w14:paraId="00000088">
            <w:pPr>
              <w:widowControl w:val="1"/>
              <w:rPr>
                <w:rFonts w:ascii="Avenir" w:cs="Avenir" w:eastAsia="Avenir" w:hAnsi="Avenir"/>
                <w:b w:val="1"/>
              </w:rPr>
            </w:pPr>
            <w:r w:rsidDel="00000000" w:rsidR="00000000" w:rsidRPr="00000000">
              <w:rPr>
                <w:rFonts w:ascii="Avenir" w:cs="Avenir" w:eastAsia="Avenir" w:hAnsi="Avenir"/>
                <w:b w:val="1"/>
                <w:i w:val="1"/>
                <w:rtl w:val="0"/>
              </w:rPr>
              <w:t xml:space="preserve">Ejemplo de posibles áreas de experiencia laboral</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Uso de aplicaciones de autogestión (diapositiva 25)</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Vea los tutoriales que ayudan a la atención plena, reflexione y practique los comportamientos sugeridos (diapositiva 29)</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venir" w:cs="Avenir" w:eastAsia="Avenir" w:hAnsi="Avenir"/>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8C">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Divide el entorno laboral del privado, así crearás espacios seguros para practicar mindfulness</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Al terminar el trabajo, dedica 10 minutos a la meditación.</w:t>
            </w:r>
          </w:p>
          <w:p w:rsidR="00000000" w:rsidDel="00000000" w:rsidP="00000000" w:rsidRDefault="00000000" w:rsidRPr="00000000" w14:paraId="0000008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Lleve un registro de las horas de trabajo y rellene la hoja de horas para evitar la adicción al trabajo.</w:t>
            </w:r>
          </w:p>
          <w:p w:rsidR="00000000" w:rsidDel="00000000" w:rsidP="00000000" w:rsidRDefault="00000000" w:rsidRPr="00000000" w14:paraId="0000009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Planificar los espacios libres de trabajo y el momento</w:t>
            </w:r>
          </w:p>
          <w:p w:rsidR="00000000" w:rsidDel="00000000" w:rsidP="00000000" w:rsidRDefault="00000000" w:rsidRPr="00000000" w14:paraId="0000009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Evitar el uso de teléfonos inteligentes tanto para uso privado como para el trabajo</w:t>
            </w:r>
          </w:p>
          <w:p w:rsidR="00000000" w:rsidDel="00000000" w:rsidP="00000000" w:rsidRDefault="00000000" w:rsidRPr="00000000" w14:paraId="0000009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Establezca el perfil de modo de trabajo en el teléfono y el perfil de tiempo libre para evitar recibir notificaciones de la aplicación de trabajo.</w:t>
            </w:r>
          </w:p>
          <w:p w:rsidR="00000000" w:rsidDel="00000000" w:rsidP="00000000" w:rsidRDefault="00000000" w:rsidRPr="00000000" w14:paraId="0000009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 aplicaciones como forest para que no se distraigan de las tareas laborales mientras disfrutan de su tiempo libre.</w:t>
            </w:r>
          </w:p>
          <w:p w:rsidR="00000000" w:rsidDel="00000000" w:rsidP="00000000" w:rsidRDefault="00000000" w:rsidRPr="00000000" w14:paraId="0000009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Unirse a aplicaciones sociales o crear una comunidad social para salir de</w:t>
            </w:r>
          </w:p>
          <w:p w:rsidR="00000000" w:rsidDel="00000000" w:rsidP="00000000" w:rsidRDefault="00000000" w:rsidRPr="00000000" w14:paraId="0000009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Práctica del mindfulness</w:t>
            </w:r>
          </w:p>
          <w:p w:rsidR="00000000" w:rsidDel="00000000" w:rsidP="00000000" w:rsidRDefault="00000000" w:rsidRPr="00000000" w14:paraId="0000009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Practicar yoga</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venir" w:cs="Avenir" w:eastAsia="Avenir" w:hAnsi="Avenir"/>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Practicar la competencia de empatía en la comunicación digital y cooperar en el entorno de trabajo</w:t>
            </w:r>
            <w:r w:rsidDel="00000000" w:rsidR="00000000" w:rsidRPr="00000000">
              <w:rPr>
                <w:rFonts w:ascii="Avenir" w:cs="Avenir" w:eastAsia="Avenir" w:hAnsi="Avenir"/>
                <w:b w:val="1"/>
                <w:rtl w:val="0"/>
              </w:rPr>
              <w:t xml:space="preserve">.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i w:val="0"/>
                <w:smallCaps w:val="0"/>
                <w:strike w:val="0"/>
                <w:u w:val="none"/>
                <w:shd w:fill="auto" w:val="clear"/>
                <w:vertAlign w:val="baseline"/>
              </w:rPr>
            </w:pPr>
            <w:r w:rsidDel="00000000" w:rsidR="00000000" w:rsidRPr="00000000">
              <w:rPr>
                <w:rFonts w:ascii="Avenir" w:cs="Avenir" w:eastAsia="Avenir" w:hAnsi="Avenir"/>
                <w:b w:val="1"/>
                <w:i w:val="1"/>
                <w:smallCaps w:val="0"/>
                <w:strike w:val="0"/>
                <w:u w:val="none"/>
                <w:shd w:fill="auto" w:val="clear"/>
                <w:vertAlign w:val="baseline"/>
                <w:rtl w:val="0"/>
              </w:rPr>
              <w:t xml:space="preserve">Ejemplo de posibles áreas de experiencia laboral</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Utilizando google calendar, WhatsApp, telegram, Skype, Zoom, Meet, Dropbox, Teams ecc.</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Redactar correos electrónicos y mensajes con alto contenido empático</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venir" w:cs="Avenir" w:eastAsia="Avenir" w:hAnsi="Avenir"/>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9D">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Instalación de aplicaciones para personas usuarias en el mismo hogar</w:t>
            </w:r>
          </w:p>
          <w:p w:rsidR="00000000" w:rsidDel="00000000" w:rsidP="00000000" w:rsidRDefault="00000000" w:rsidRPr="00000000" w14:paraId="0000009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Compartir contenido en Smart TVs (Televisiones inteligentes) </w:t>
            </w:r>
          </w:p>
          <w:p w:rsidR="00000000" w:rsidDel="00000000" w:rsidP="00000000" w:rsidRDefault="00000000" w:rsidRPr="00000000" w14:paraId="000000A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Gestión de las Comunicaciones de las redes sociales, así como conceptos generales (WhatsApp, Facebook)</w:t>
            </w:r>
          </w:p>
          <w:p w:rsidR="00000000" w:rsidDel="00000000" w:rsidP="00000000" w:rsidRDefault="00000000" w:rsidRPr="00000000" w14:paraId="000000A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Configuración de la accesibilidad a reuniones con los familiares de los/las usuarios/as.</w:t>
            </w:r>
          </w:p>
          <w:p w:rsidR="00000000" w:rsidDel="00000000" w:rsidP="00000000" w:rsidRDefault="00000000" w:rsidRPr="00000000" w14:paraId="000000A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Relacionar la misma cuenta a diferentes aplicaciones, así como el calendario</w:t>
            </w:r>
          </w:p>
          <w:p w:rsidR="00000000" w:rsidDel="00000000" w:rsidP="00000000" w:rsidRDefault="00000000" w:rsidRPr="00000000" w14:paraId="000000A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Entrenamiento de manejo de diferentes plataformas, para que puedan recomendarlas en función del contexto. </w:t>
            </w:r>
          </w:p>
          <w:p w:rsidR="00000000" w:rsidDel="00000000" w:rsidP="00000000" w:rsidRDefault="00000000" w:rsidRPr="00000000" w14:paraId="000000A4">
            <w:pPr>
              <w:rPr>
                <w:rFonts w:ascii="Avenir" w:cs="Avenir" w:eastAsia="Avenir" w:hAnsi="Avenir"/>
                <w:b w:val="1"/>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Organización y desarrollo de actividades educativas para personas usuarias mediante tecnología</w:t>
            </w:r>
            <w:r w:rsidDel="00000000" w:rsidR="00000000" w:rsidRPr="00000000">
              <w:rPr>
                <w:rFonts w:ascii="Avenir" w:cs="Avenir" w:eastAsia="Avenir" w:hAnsi="Avenir"/>
                <w:b w:val="1"/>
                <w:rtl w:val="0"/>
              </w:rPr>
              <w:t xml:space="preserve">.</w:t>
            </w:r>
            <w:r w:rsidDel="00000000" w:rsidR="00000000" w:rsidRPr="00000000">
              <w:rPr>
                <w:rtl w:val="0"/>
              </w:rPr>
            </w:r>
          </w:p>
          <w:p w:rsidR="00000000" w:rsidDel="00000000" w:rsidP="00000000" w:rsidRDefault="00000000" w:rsidRPr="00000000" w14:paraId="000000A6">
            <w:pPr>
              <w:widowControl w:val="1"/>
              <w:rPr>
                <w:rFonts w:ascii="Avenir" w:cs="Avenir" w:eastAsia="Avenir" w:hAnsi="Avenir"/>
                <w:b w:val="1"/>
              </w:rPr>
            </w:pPr>
            <w:r w:rsidDel="00000000" w:rsidR="00000000" w:rsidRPr="00000000">
              <w:rPr>
                <w:rFonts w:ascii="Avenir" w:cs="Avenir" w:eastAsia="Avenir" w:hAnsi="Avenir"/>
                <w:b w:val="1"/>
                <w:i w:val="1"/>
                <w:rtl w:val="0"/>
              </w:rPr>
              <w:t xml:space="preserve">Ejemplo de posibles áreas de trabajo basadas en las experiencias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Enseñar a las personas usuarias a utilizar diferentes aplicaciones siguiendo las guías de las dispositivas 68 hasta la 73.</w:t>
            </w:r>
            <w:r w:rsidDel="00000000" w:rsidR="00000000" w:rsidRPr="00000000">
              <w:rPr>
                <w:rtl w:val="0"/>
              </w:rPr>
            </w:r>
          </w:p>
          <w:p w:rsidR="00000000" w:rsidDel="00000000" w:rsidP="00000000" w:rsidRDefault="00000000" w:rsidRPr="00000000" w14:paraId="000000A8">
            <w:pPr>
              <w:rPr>
                <w:rFonts w:ascii="Avenir" w:cs="Avenir" w:eastAsia="Avenir" w:hAnsi="Avenir"/>
                <w:b w:val="1"/>
              </w:rPr>
            </w:pPr>
            <w:r w:rsidDel="00000000" w:rsidR="00000000" w:rsidRPr="00000000">
              <w:rPr>
                <w:rFonts w:ascii="Avenir" w:cs="Avenir" w:eastAsia="Avenir" w:hAnsi="Avenir"/>
                <w:b w:val="1"/>
                <w:i w:val="1"/>
                <w:rtl w:val="0"/>
              </w:rPr>
              <w:t xml:space="preserve">Ejemplos de posibles actividades.</w:t>
            </w: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Enseñar al usuario a manejar tablets y smartphones</w:t>
            </w:r>
          </w:p>
          <w:p w:rsidR="00000000" w:rsidDel="00000000" w:rsidP="00000000" w:rsidRDefault="00000000" w:rsidRPr="00000000" w14:paraId="000000A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Consultar el punto de partida</w:t>
            </w:r>
          </w:p>
          <w:p w:rsidR="00000000" w:rsidDel="00000000" w:rsidP="00000000" w:rsidRDefault="00000000" w:rsidRPr="00000000" w14:paraId="000000A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Como guardar y cuidar la información privada de la persona usuaria. </w:t>
            </w:r>
          </w:p>
          <w:p w:rsidR="00000000" w:rsidDel="00000000" w:rsidP="00000000" w:rsidRDefault="00000000" w:rsidRPr="00000000" w14:paraId="000000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un tipo de guía con el objetivo de indicar el cómo paso por paso</w:t>
            </w:r>
          </w:p>
          <w:p w:rsidR="00000000" w:rsidDel="00000000" w:rsidP="00000000" w:rsidRDefault="00000000" w:rsidRPr="00000000" w14:paraId="000000A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Manejar todo tipo de tecnología</w:t>
            </w:r>
          </w:p>
          <w:p w:rsidR="00000000" w:rsidDel="00000000" w:rsidP="00000000" w:rsidRDefault="00000000" w:rsidRPr="00000000" w14:paraId="000000A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Crear grupos de personas usuarias con el mismo tipo de habilidades </w:t>
            </w:r>
          </w:p>
          <w:p w:rsidR="00000000" w:rsidDel="00000000" w:rsidP="00000000" w:rsidRDefault="00000000" w:rsidRPr="00000000" w14:paraId="000000A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Desarrollar un plan específico para cada una de la tecnología presentada. </w:t>
            </w:r>
          </w:p>
          <w:p w:rsidR="00000000" w:rsidDel="00000000" w:rsidP="00000000" w:rsidRDefault="00000000" w:rsidRPr="00000000" w14:paraId="000000B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Incluir a la familia y a amigos/as en el mismo progreso de aprendizaje. </w:t>
            </w:r>
          </w:p>
          <w:p w:rsidR="00000000" w:rsidDel="00000000" w:rsidP="00000000" w:rsidRDefault="00000000" w:rsidRPr="00000000" w14:paraId="000000B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Establecer vínculos emocionales con los familiares, dando la posibilidad de que los mismos puedan aportar su propia tecnología.  </w:t>
            </w:r>
          </w:p>
          <w:p w:rsidR="00000000" w:rsidDel="00000000" w:rsidP="00000000" w:rsidRDefault="00000000" w:rsidRPr="00000000" w14:paraId="000000B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Utilizar tecnología que les sea prioritariamente familiar. </w:t>
            </w:r>
          </w:p>
          <w:p w:rsidR="00000000" w:rsidDel="00000000" w:rsidP="00000000" w:rsidRDefault="00000000" w:rsidRPr="00000000" w14:paraId="000000B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Un taller entre personas usuarias y auxiliares que tenga lugar cada mes con el objetivo de poder trabajar de forma grupal y fomentar a su vez las habilidades tecnológicas. Estos grupos de trabajo es importante que se hagan en pequeños grupos.   </w:t>
            </w:r>
          </w:p>
          <w:p w:rsidR="00000000" w:rsidDel="00000000" w:rsidP="00000000" w:rsidRDefault="00000000" w:rsidRPr="00000000" w14:paraId="000000B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284"/>
              <w:jc w:val="left"/>
              <w:rPr>
                <w:rFonts w:ascii="Avenir" w:cs="Avenir" w:eastAsia="Avenir" w:hAnsi="Avenir"/>
                <w:b w:val="1"/>
                <w:i w:val="0"/>
                <w:smallCaps w:val="0"/>
                <w:strike w:val="0"/>
                <w:shd w:fill="auto" w:val="clear"/>
                <w:vertAlign w:val="baseline"/>
              </w:rPr>
            </w:pPr>
            <w:r w:rsidDel="00000000" w:rsidR="00000000" w:rsidRPr="00000000">
              <w:rPr>
                <w:rFonts w:ascii="Avenir" w:cs="Avenir" w:eastAsia="Avenir" w:hAnsi="Avenir"/>
                <w:b w:val="1"/>
                <w:i w:val="0"/>
                <w:smallCaps w:val="0"/>
                <w:strike w:val="0"/>
                <w:u w:val="none"/>
                <w:shd w:fill="auto" w:val="clear"/>
                <w:vertAlign w:val="baseline"/>
                <w:rtl w:val="0"/>
              </w:rPr>
              <w:t xml:space="preserve">Actividades intergeneracionales</w:t>
            </w:r>
          </w:p>
        </w:tc>
      </w:tr>
      <w:tr>
        <w:trPr>
          <w:cantSplit w:val="0"/>
          <w:trHeight w:val="400" w:hRule="atLeast"/>
          <w:tblHeader w:val="0"/>
        </w:trPr>
        <w:tc>
          <w:tcPr>
            <w:shd w:fill="ffffff" w:val="cle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i w:val="1"/>
                <w:rtl w:val="0"/>
              </w:rPr>
              <w:t xml:space="preserve">Seguimiento</w:t>
            </w:r>
          </w:p>
        </w:tc>
        <w:tc>
          <w:tcPr>
            <w:shd w:fill="ffffff" w:val="clear"/>
            <w:tcMar>
              <w:top w:w="20.0" w:type="dxa"/>
              <w:left w:w="80.0" w:type="dxa"/>
              <w:bottom w:w="100.0" w:type="dxa"/>
              <w:right w:w="80.0" w:type="dxa"/>
            </w:tcMar>
            <w:vAlign w:val="center"/>
          </w:tcPr>
          <w:p w:rsidR="00000000" w:rsidDel="00000000" w:rsidP="00000000" w:rsidRDefault="00000000" w:rsidRPr="00000000" w14:paraId="000000B6">
            <w:pPr>
              <w:widowControl w:val="1"/>
              <w:rPr>
                <w:rFonts w:ascii="Avenir" w:cs="Avenir" w:eastAsia="Avenir" w:hAnsi="Avenir"/>
                <w:b w:val="1"/>
              </w:rPr>
            </w:pPr>
            <w:r w:rsidDel="00000000" w:rsidR="00000000" w:rsidRPr="00000000">
              <w:rPr>
                <w:rFonts w:ascii="Avenir" w:cs="Avenir" w:eastAsia="Avenir" w:hAnsi="Avenir"/>
                <w:b w:val="1"/>
                <w:rtl w:val="0"/>
              </w:rPr>
              <w:t xml:space="preserve">Plan y herramientas de seguimiento (véase el apartado 3.3 sobre seguimiento)</w:t>
            </w:r>
          </w:p>
          <w:p w:rsidR="00000000" w:rsidDel="00000000" w:rsidP="00000000" w:rsidRDefault="00000000" w:rsidRPr="00000000" w14:paraId="000000B7">
            <w:pPr>
              <w:widowControl w:val="1"/>
              <w:rPr>
                <w:rFonts w:ascii="Avenir" w:cs="Avenir" w:eastAsia="Avenir" w:hAnsi="Avenir"/>
                <w:b w:val="1"/>
              </w:rPr>
            </w:pPr>
            <w:r w:rsidDel="00000000" w:rsidR="00000000" w:rsidRPr="00000000">
              <w:rPr>
                <w:rFonts w:ascii="Avenir" w:cs="Avenir" w:eastAsia="Avenir" w:hAnsi="Avenir"/>
                <w:b w:val="1"/>
                <w:rtl w:val="0"/>
              </w:rPr>
              <w:t xml:space="preserve">Proceso y herramientas de evaluación del informe</w:t>
            </w:r>
          </w:p>
        </w:tc>
      </w:tr>
      <w:tr>
        <w:trPr>
          <w:cantSplit w:val="0"/>
          <w:trHeight w:val="400" w:hRule="atLeast"/>
          <w:tblHeader w:val="0"/>
        </w:trPr>
        <w:tc>
          <w:tcPr>
            <w:shd w:fill="ffffff" w:val="cle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i w:val="1"/>
                <w:rtl w:val="0"/>
              </w:rPr>
              <w:t xml:space="preserve">Evaluación</w:t>
            </w:r>
          </w:p>
        </w:tc>
        <w:tc>
          <w:tcPr>
            <w:shd w:fill="ffffff" w:val="clear"/>
            <w:tcMar>
              <w:top w:w="20.0" w:type="dxa"/>
              <w:left w:w="80.0" w:type="dxa"/>
              <w:bottom w:w="100.0" w:type="dxa"/>
              <w:right w:w="8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ind w:right="282"/>
              <w:jc w:val="center"/>
              <w:rPr>
                <w:rFonts w:ascii="Avenir" w:cs="Avenir" w:eastAsia="Avenir" w:hAnsi="Avenir"/>
                <w:b w:val="1"/>
                <w:i w:val="1"/>
              </w:rPr>
            </w:pPr>
            <w:r w:rsidDel="00000000" w:rsidR="00000000" w:rsidRPr="00000000">
              <w:rPr>
                <w:rFonts w:ascii="Avenir" w:cs="Avenir" w:eastAsia="Avenir" w:hAnsi="Avenir"/>
                <w:b w:val="1"/>
                <w:highlight w:val="white"/>
                <w:rtl w:val="0"/>
              </w:rPr>
              <w:t xml:space="preserve">Lo que se evaluará ya se ha definido en parte en los resultados del aprendizaje</w:t>
            </w:r>
            <w:r w:rsidDel="00000000" w:rsidR="00000000" w:rsidRPr="00000000">
              <w:rPr>
                <w:rtl w:val="0"/>
              </w:rPr>
            </w:r>
          </w:p>
        </w:tc>
      </w:tr>
    </w:tbl>
    <w:p w:rsidR="00000000" w:rsidDel="00000000" w:rsidP="00000000" w:rsidRDefault="00000000" w:rsidRPr="00000000" w14:paraId="000000BA">
      <w:pPr>
        <w:ind w:right="282"/>
        <w:rPr>
          <w:b w:val="1"/>
          <w:color w:val="8496b0"/>
          <w:sz w:val="28"/>
          <w:szCs w:val="28"/>
        </w:rPr>
      </w:pPr>
      <w:r w:rsidDel="00000000" w:rsidR="00000000" w:rsidRPr="00000000">
        <w:rPr>
          <w:rtl w:val="0"/>
        </w:rPr>
      </w:r>
    </w:p>
    <w:p w:rsidR="00000000" w:rsidDel="00000000" w:rsidP="00000000" w:rsidRDefault="00000000" w:rsidRPr="00000000" w14:paraId="000000BB">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C">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F">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0">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widowControl w:val="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b w:val="1"/>
          <w:color w:val="4472c4"/>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4547"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454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4545"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Skills for Senior Carers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454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4551"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4551"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7"/>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sid w:val="003924EA"/>
    <w:pPr>
      <w:widowControl w:val="0"/>
    </w:pPr>
    <w:rPr>
      <w:rFonts w:ascii="Calibri" w:cs="Times New Roman" w:eastAsia="Calibri" w:hAnsi="Calibri"/>
      <w:sz w:val="22"/>
      <w:szCs w:val="22"/>
    </w:rPr>
  </w:style>
  <w:style w:type="paragraph" w:styleId="Ttulo2">
    <w:name w:val="heading 2"/>
    <w:basedOn w:val="Normal"/>
    <w:next w:val="Normal"/>
    <w:link w:val="Ttulo2Car"/>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Ttulo3">
    <w:name w:val="heading 3"/>
    <w:basedOn w:val="Normal"/>
    <w:next w:val="Normal"/>
    <w:link w:val="Ttulo3Car"/>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Ttulo4">
    <w:name w:val="heading 4"/>
    <w:basedOn w:val="Normal"/>
    <w:next w:val="Normal"/>
    <w:link w:val="Ttulo4Car"/>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EncabezadoCar" w:customStyle="1">
    <w:name w:val="Encabezado Car"/>
    <w:basedOn w:val="Fuentedeprrafopredeter"/>
    <w:link w:val="Encabezado"/>
    <w:uiPriority w:val="99"/>
    <w:rsid w:val="00E20391"/>
  </w:style>
  <w:style w:type="paragraph" w:styleId="Piedepgina">
    <w:name w:val="footer"/>
    <w:basedOn w:val="Normal"/>
    <w:link w:val="PiedepginaCar"/>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edepginaCar" w:customStyle="1">
    <w:name w:val="Pie de página Car"/>
    <w:basedOn w:val="Fuentedeprrafopredeter"/>
    <w:link w:val="Piedepgina"/>
    <w:uiPriority w:val="99"/>
    <w:rsid w:val="00E20391"/>
  </w:style>
  <w:style w:type="paragraph" w:styleId="NormalWeb">
    <w:name w:val="Normal (Web)"/>
    <w:basedOn w:val="Normal"/>
    <w:link w:val="NormalWebCar"/>
    <w:uiPriority w:val="99"/>
    <w:unhideWhenUsed w:val="1"/>
    <w:rsid w:val="00E25643"/>
    <w:pPr>
      <w:spacing w:after="100" w:afterAutospacing="1" w:before="100" w:beforeAutospacing="1"/>
    </w:pPr>
    <w:rPr>
      <w:rFonts w:ascii="Times New Roman" w:hAnsi="Times New Roman" w:eastAsiaTheme="minorEastAsia"/>
    </w:rPr>
  </w:style>
  <w:style w:type="character" w:styleId="NormalWebCar" w:customStyle="1">
    <w:name w:val="Normal (Web) Car"/>
    <w:link w:val="Normal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
    <w:next w:val="Normal"/>
    <w:uiPriority w:val="1"/>
    <w:qFormat w:val="1"/>
    <w:rsid w:val="00510EA4"/>
    <w:rPr>
      <w:b w:val="1"/>
      <w:bCs w:val="1"/>
      <w:iCs w:val="1"/>
      <w:color w:val="092e4b"/>
      <w:sz w:val="28"/>
      <w:szCs w:val="28"/>
    </w:rPr>
  </w:style>
  <w:style w:type="paragraph" w:styleId="housingcare-Bodytext" w:customStyle="1">
    <w:name w:val="housing care - Body text"/>
    <w:basedOn w:val="Normal"/>
    <w:next w:val="Normal"/>
    <w:uiPriority w:val="1"/>
    <w:qFormat w:val="1"/>
    <w:rsid w:val="00510EA4"/>
    <w:rPr>
      <w:color w:val="092e4b"/>
      <w:sz w:val="21"/>
      <w:szCs w:val="21"/>
    </w:rPr>
  </w:style>
  <w:style w:type="paragraph" w:styleId="housingcare-purpleheading" w:customStyle="1">
    <w:name w:val="housing care - purple heading"/>
    <w:next w:val="Normal"/>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
    <w:uiPriority w:val="1"/>
    <w:qFormat w:val="1"/>
    <w:rsid w:val="00510EA4"/>
    <w:rPr>
      <w:rFonts w:ascii="Calibri" w:cs="Times New Roman" w:eastAsia="Calibri" w:hAnsi="Calibri"/>
      <w:b w:val="1"/>
      <w:bCs w:val="1"/>
      <w:color w:val="24baa2"/>
      <w:sz w:val="36"/>
      <w:szCs w:val="36"/>
    </w:rPr>
  </w:style>
  <w:style w:type="paragraph" w:styleId="Prrafodelista">
    <w:name w:val="List Paragraph"/>
    <w:basedOn w:val="Normal"/>
    <w:uiPriority w:val="34"/>
    <w:qFormat w:val="1"/>
    <w:rsid w:val="000D7AAD"/>
    <w:pPr>
      <w:ind w:left="720"/>
      <w:contextualSpacing w:val="1"/>
    </w:pPr>
  </w:style>
  <w:style w:type="character" w:styleId="Nmerodepgina">
    <w:name w:val="page number"/>
    <w:basedOn w:val="Fuentedeprrafopredeter"/>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lanormal"/>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Tablaconcuadrcula">
    <w:name w:val="Table Grid"/>
    <w:basedOn w:val="Tablanormal"/>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4Car" w:customStyle="1">
    <w:name w:val="Título 4 Car"/>
    <w:basedOn w:val="Fuentedeprrafopredeter"/>
    <w:link w:val="Ttulo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Ttulo2Car" w:customStyle="1">
    <w:name w:val="Título 2 Car"/>
    <w:basedOn w:val="Fuentedeprrafopredeter"/>
    <w:link w:val="Ttulo2"/>
    <w:uiPriority w:val="9"/>
    <w:rsid w:val="00772972"/>
    <w:rPr>
      <w:rFonts w:asciiTheme="majorHAnsi" w:cstheme="majorBidi" w:eastAsiaTheme="majorEastAsia" w:hAnsiTheme="majorHAnsi"/>
      <w:color w:val="2f5496" w:themeColor="accent1" w:themeShade="0000BF"/>
      <w:sz w:val="26"/>
      <w:szCs w:val="26"/>
      <w:lang w:val="it-IT"/>
    </w:rPr>
  </w:style>
  <w:style w:type="paragraph" w:styleId="HTMLconformatoprevio">
    <w:name w:val="HTML Preformatted"/>
    <w:basedOn w:val="Normal"/>
    <w:link w:val="HTMLconformatoprevioCar"/>
    <w:uiPriority w:val="99"/>
    <w:unhideWhenUsed w:val="1"/>
    <w:rsid w:val="00772972"/>
    <w:pPr>
      <w:widowControl w:val="1"/>
      <w:jc w:val="both"/>
    </w:pPr>
    <w:rPr>
      <w:rFonts w:ascii="Consolas" w:cs="Consolas" w:hAnsi="Consolas" w:eastAsiaTheme="minorHAnsi"/>
      <w:sz w:val="20"/>
      <w:szCs w:val="20"/>
      <w:lang w:val="it-IT"/>
    </w:rPr>
  </w:style>
  <w:style w:type="character" w:styleId="HTMLconformatoprevioCar" w:customStyle="1">
    <w:name w:val="HTML con formato previo Car"/>
    <w:basedOn w:val="Fuentedeprrafopredeter"/>
    <w:link w:val="HTMLconformatoprevio"/>
    <w:uiPriority w:val="99"/>
    <w:rsid w:val="00772972"/>
    <w:rPr>
      <w:rFonts w:ascii="Consolas" w:cs="Consolas" w:hAnsi="Consolas"/>
      <w:sz w:val="20"/>
      <w:szCs w:val="20"/>
      <w:lang w:val="it-IT"/>
    </w:rPr>
  </w:style>
  <w:style w:type="character" w:styleId="tlid-translation" w:customStyle="1">
    <w:name w:val="tlid-translation"/>
    <w:basedOn w:val="Fuentedeprrafopredeter"/>
    <w:rsid w:val="00772972"/>
  </w:style>
  <w:style w:type="character" w:styleId="Ttulo3Car" w:customStyle="1">
    <w:name w:val="Título 3 Car"/>
    <w:basedOn w:val="Fuentedeprrafopredeter"/>
    <w:link w:val="Ttulo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lanormal"/>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7.png"/><Relationship Id="rId10" Type="http://schemas.openxmlformats.org/officeDocument/2006/relationships/footer" Target="footer2.xml"/><Relationship Id="rId21" Type="http://schemas.openxmlformats.org/officeDocument/2006/relationships/image" Target="media/image3.png"/><Relationship Id="rId13" Type="http://schemas.openxmlformats.org/officeDocument/2006/relationships/image" Target="media/image15.pn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1.png"/><Relationship Id="rId14" Type="http://schemas.openxmlformats.org/officeDocument/2006/relationships/image" Target="media/image14.png"/><Relationship Id="rId17" Type="http://schemas.openxmlformats.org/officeDocument/2006/relationships/image" Target="media/image4.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6.png"/><Relationship Id="rId3"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PAHfIw/ttGWJlYFDLQ01hbqcQ==">CgMxLjA4AHIhMTFTX0pLdWtKV0ctVWRobzM1WVJ4ZmEyQmxsSkhncm5B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2023-08-17T10:21:00Z</dcterms:created>
  <dc:creator>Gillian Keane</dc:creator>
</cp:coreProperties>
</file>